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273"/>
        <w:gridCol w:w="5273"/>
      </w:tblGrid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</w:tr>
      <w:tr>
        <w:trPr>
          <w:trHeight w:val="3742"/>
        </w:trPr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  <w:tc>
          <w:tcPr>
            <w:tcW w:type="dxa" w:w="5216"/>
          </w:tcPr>
          <w:p>
            <w:pPr>
              <w:spacing w:before="72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2"/>
              </w:rPr>
              <w:t xml:space="preserve">2026 신입 워크숍</w:t>
            </w:r>
          </w:p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72"/>
              </w:rPr>
              <w:t>홍길동</w:t>
            </w:r>
          </w:p>
          <w:p>
            <w:pPr>
              <w:spacing w:before="160"/>
              <w:jc w:val="center"/>
            </w:pPr>
            <w:r>
              <w:rPr>
                <w:rFonts w:ascii="맑은 고딕" w:hAnsi="맑은 고딕" w:eastAsia="맑은 고딕"/>
                <w:b w:val="0"/>
                <w:sz w:val="26"/>
              </w:rPr>
              <w:t xml:space="preserve">한빛상사 · 경영지원팀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